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26295" w14:textId="47870349" w:rsidR="00BE2B60" w:rsidRDefault="00BE2B60" w:rsidP="00BE2B60">
      <w:pPr>
        <w:ind w:left="408" w:hanging="360"/>
        <w:jc w:val="center"/>
      </w:pPr>
      <w:r>
        <w:rPr>
          <w:noProof/>
        </w:rPr>
        <w:drawing>
          <wp:inline distT="0" distB="0" distL="0" distR="0" wp14:anchorId="75C9CDCF" wp14:editId="59E97A21">
            <wp:extent cx="1038225" cy="494050"/>
            <wp:effectExtent l="0" t="0" r="0" b="127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6822" cy="502899"/>
                    </a:xfrm>
                    <a:prstGeom prst="rect">
                      <a:avLst/>
                    </a:prstGeom>
                  </pic:spPr>
                </pic:pic>
              </a:graphicData>
            </a:graphic>
          </wp:inline>
        </w:drawing>
      </w:r>
    </w:p>
    <w:p w14:paraId="2195E063" w14:textId="6B6E3275" w:rsidR="00BE2B60" w:rsidRDefault="00BE2B60" w:rsidP="00BE2B60">
      <w:pPr>
        <w:ind w:left="408" w:hanging="360"/>
        <w:jc w:val="center"/>
      </w:pPr>
    </w:p>
    <w:p w14:paraId="513DEEEA" w14:textId="77777777" w:rsidR="00C26DB7" w:rsidRDefault="00BE2B60" w:rsidP="00BE2B60">
      <w:pPr>
        <w:ind w:left="408" w:hanging="360"/>
        <w:jc w:val="center"/>
        <w:rPr>
          <w:b/>
          <w:bCs/>
          <w:sz w:val="24"/>
          <w:szCs w:val="24"/>
        </w:rPr>
      </w:pPr>
      <w:r w:rsidRPr="00C26DB7">
        <w:rPr>
          <w:b/>
          <w:bCs/>
          <w:sz w:val="24"/>
          <w:szCs w:val="24"/>
        </w:rPr>
        <w:t xml:space="preserve">FAQ relative aux initiatives de solidarité et d’aide aux personnes </w:t>
      </w:r>
    </w:p>
    <w:p w14:paraId="7D9299C0" w14:textId="7D200A74" w:rsidR="00BE2B60" w:rsidRPr="00C26DB7" w:rsidRDefault="00BE2B60" w:rsidP="00BE2B60">
      <w:pPr>
        <w:ind w:left="408" w:hanging="360"/>
        <w:jc w:val="center"/>
        <w:rPr>
          <w:b/>
          <w:bCs/>
          <w:sz w:val="24"/>
          <w:szCs w:val="24"/>
        </w:rPr>
      </w:pPr>
      <w:proofErr w:type="gramStart"/>
      <w:r w:rsidRPr="00C26DB7">
        <w:rPr>
          <w:b/>
          <w:bCs/>
          <w:sz w:val="24"/>
          <w:szCs w:val="24"/>
        </w:rPr>
        <w:t>dans</w:t>
      </w:r>
      <w:proofErr w:type="gramEnd"/>
      <w:r w:rsidRPr="00C26DB7">
        <w:rPr>
          <w:b/>
          <w:bCs/>
          <w:sz w:val="24"/>
          <w:szCs w:val="24"/>
        </w:rPr>
        <w:t xml:space="preserve"> le cadre de la crise énergétique</w:t>
      </w:r>
    </w:p>
    <w:p w14:paraId="294CC336" w14:textId="77777777" w:rsidR="00BE2B60" w:rsidRDefault="00BE2B60" w:rsidP="00BE2B60">
      <w:pPr>
        <w:ind w:left="408" w:hanging="360"/>
        <w:jc w:val="center"/>
      </w:pPr>
    </w:p>
    <w:p w14:paraId="330FBAF5" w14:textId="3BDF012F" w:rsidR="00B3102B" w:rsidRPr="00541E24" w:rsidRDefault="00B3102B" w:rsidP="00541E24">
      <w:pPr>
        <w:pStyle w:val="Paragraphedeliste"/>
        <w:numPr>
          <w:ilvl w:val="0"/>
          <w:numId w:val="2"/>
        </w:numPr>
        <w:jc w:val="both"/>
        <w:rPr>
          <w:b/>
          <w:bCs/>
          <w:u w:val="single"/>
        </w:rPr>
      </w:pPr>
      <w:r w:rsidRPr="00541E24">
        <w:rPr>
          <w:b/>
          <w:bCs/>
          <w:u w:val="single"/>
        </w:rPr>
        <w:t xml:space="preserve">La subvention de 5000 € devra-t-elle figurer dans </w:t>
      </w:r>
      <w:proofErr w:type="spellStart"/>
      <w:r w:rsidRPr="00541E24">
        <w:rPr>
          <w:b/>
          <w:bCs/>
          <w:u w:val="single"/>
        </w:rPr>
        <w:t>e-Comptes</w:t>
      </w:r>
      <w:proofErr w:type="spellEnd"/>
      <w:r w:rsidRPr="00541E24">
        <w:rPr>
          <w:b/>
          <w:bCs/>
          <w:u w:val="single"/>
        </w:rPr>
        <w:t> ?</w:t>
      </w:r>
    </w:p>
    <w:p w14:paraId="4CD59CB5" w14:textId="621FF601" w:rsidR="00B3102B" w:rsidRDefault="00B3102B" w:rsidP="00BE2B60">
      <w:pPr>
        <w:jc w:val="both"/>
        <w:rPr>
          <w:b/>
          <w:bCs/>
          <w:u w:val="single"/>
        </w:rPr>
      </w:pPr>
    </w:p>
    <w:p w14:paraId="7F2D70B5" w14:textId="2EB9B617" w:rsidR="00B3102B" w:rsidRPr="00B3102B" w:rsidRDefault="00B3102B" w:rsidP="00541E24">
      <w:pPr>
        <w:pStyle w:val="Paragraphedeliste"/>
        <w:jc w:val="both"/>
      </w:pPr>
      <w:r>
        <w:t>Oui. Toutes les écritures comptables concernant cette subvention de 5.000 € seront effectuées dans la fonction 84010 pour les communes et 80110 pour les CPAS.</w:t>
      </w:r>
    </w:p>
    <w:p w14:paraId="49D74286" w14:textId="77777777" w:rsidR="00B3102B" w:rsidRDefault="00B3102B" w:rsidP="00BE2B60">
      <w:pPr>
        <w:jc w:val="both"/>
        <w:rPr>
          <w:b/>
          <w:bCs/>
          <w:u w:val="single"/>
        </w:rPr>
      </w:pPr>
    </w:p>
    <w:p w14:paraId="56EB8F68" w14:textId="5354E138" w:rsidR="00BE2B60" w:rsidRPr="00541E24" w:rsidRDefault="00E4468E" w:rsidP="00541E24">
      <w:pPr>
        <w:pStyle w:val="Paragraphedeliste"/>
        <w:numPr>
          <w:ilvl w:val="0"/>
          <w:numId w:val="2"/>
        </w:numPr>
        <w:jc w:val="both"/>
        <w:rPr>
          <w:b/>
          <w:bCs/>
          <w:u w:val="single"/>
        </w:rPr>
      </w:pPr>
      <w:r w:rsidRPr="00541E24">
        <w:rPr>
          <w:b/>
          <w:bCs/>
          <w:u w:val="single"/>
        </w:rPr>
        <w:t xml:space="preserve">La subvention de 5000 </w:t>
      </w:r>
      <w:r w:rsidR="00BE2B60" w:rsidRPr="00541E24">
        <w:rPr>
          <w:b/>
          <w:bCs/>
          <w:u w:val="single"/>
        </w:rPr>
        <w:t>€</w:t>
      </w:r>
      <w:r w:rsidRPr="00541E24">
        <w:rPr>
          <w:b/>
          <w:bCs/>
          <w:u w:val="single"/>
        </w:rPr>
        <w:t xml:space="preserve"> devra-t-elle </w:t>
      </w:r>
      <w:r w:rsidR="00330AE3" w:rsidRPr="00541E24">
        <w:rPr>
          <w:b/>
          <w:bCs/>
          <w:u w:val="single"/>
        </w:rPr>
        <w:t>figurer</w:t>
      </w:r>
      <w:r w:rsidRPr="00541E24">
        <w:rPr>
          <w:b/>
          <w:bCs/>
          <w:u w:val="single"/>
        </w:rPr>
        <w:t xml:space="preserve"> dans le </w:t>
      </w:r>
      <w:r w:rsidR="00B3102B" w:rsidRPr="00541E24">
        <w:rPr>
          <w:b/>
          <w:bCs/>
          <w:u w:val="single"/>
        </w:rPr>
        <w:t xml:space="preserve">tableau de bord (fiche signalétique) </w:t>
      </w:r>
      <w:r w:rsidR="00C26DB7" w:rsidRPr="00541E24">
        <w:rPr>
          <w:b/>
          <w:bCs/>
          <w:u w:val="single"/>
        </w:rPr>
        <w:t>a</w:t>
      </w:r>
      <w:r w:rsidR="00B3102B" w:rsidRPr="00541E24">
        <w:rPr>
          <w:b/>
          <w:bCs/>
          <w:u w:val="single"/>
        </w:rPr>
        <w:t xml:space="preserve">u budget prévisionnel de l’année en cours (rubrique </w:t>
      </w:r>
      <w:r w:rsidRPr="00541E24">
        <w:rPr>
          <w:b/>
          <w:bCs/>
          <w:u w:val="single"/>
        </w:rPr>
        <w:t>« autres recettes »</w:t>
      </w:r>
      <w:r w:rsidR="00B3102B" w:rsidRPr="00541E24">
        <w:rPr>
          <w:b/>
          <w:bCs/>
          <w:u w:val="single"/>
        </w:rPr>
        <w:t>)</w:t>
      </w:r>
      <w:r w:rsidRPr="00541E24">
        <w:rPr>
          <w:b/>
          <w:bCs/>
          <w:u w:val="single"/>
        </w:rPr>
        <w:t xml:space="preserve"> ? </w:t>
      </w:r>
    </w:p>
    <w:p w14:paraId="094A9377" w14:textId="77777777" w:rsidR="00BE2B60" w:rsidRDefault="00BE2B60" w:rsidP="00BE2B60">
      <w:pPr>
        <w:jc w:val="both"/>
      </w:pPr>
    </w:p>
    <w:p w14:paraId="268265E7" w14:textId="18AD4B03" w:rsidR="00E4468E" w:rsidRDefault="00B3102B" w:rsidP="00541E24">
      <w:pPr>
        <w:pStyle w:val="Paragraphedeliste"/>
        <w:jc w:val="both"/>
      </w:pPr>
      <w:r>
        <w:t>Oui</w:t>
      </w:r>
      <w:r w:rsidR="00296102">
        <w:t xml:space="preserve"> (uniquement pour le tableau qui sera transmis au 31 mars 2023)</w:t>
      </w:r>
      <w:r>
        <w:t>.</w:t>
      </w:r>
    </w:p>
    <w:p w14:paraId="4AFF858B" w14:textId="47B2FC56" w:rsidR="00330AE3" w:rsidRDefault="00330AE3" w:rsidP="00BE2B60">
      <w:pPr>
        <w:jc w:val="both"/>
      </w:pPr>
    </w:p>
    <w:p w14:paraId="0C316CF4" w14:textId="7A50F735" w:rsidR="00330AE3" w:rsidRPr="00541E24" w:rsidRDefault="00330AE3" w:rsidP="00541E24">
      <w:pPr>
        <w:pStyle w:val="Paragraphedeliste"/>
        <w:numPr>
          <w:ilvl w:val="0"/>
          <w:numId w:val="2"/>
        </w:numPr>
        <w:jc w:val="both"/>
        <w:rPr>
          <w:b/>
          <w:bCs/>
          <w:u w:val="single"/>
        </w:rPr>
      </w:pPr>
      <w:r w:rsidRPr="00541E24">
        <w:rPr>
          <w:b/>
          <w:bCs/>
          <w:u w:val="single"/>
        </w:rPr>
        <w:t>Si l’action est introduite dans le plan, le financement complémentaire sera-t-il pérennisé au-delà du 31 décembre 2023</w:t>
      </w:r>
      <w:r w:rsidR="00C26DB7" w:rsidRPr="00541E24">
        <w:rPr>
          <w:b/>
          <w:bCs/>
          <w:u w:val="single"/>
        </w:rPr>
        <w:t xml:space="preserve"> </w:t>
      </w:r>
      <w:r w:rsidRPr="00541E24">
        <w:rPr>
          <w:b/>
          <w:bCs/>
          <w:u w:val="single"/>
        </w:rPr>
        <w:t xml:space="preserve">? </w:t>
      </w:r>
    </w:p>
    <w:p w14:paraId="5F2D7DDE" w14:textId="77777777" w:rsidR="00330AE3" w:rsidRDefault="00330AE3" w:rsidP="00330AE3">
      <w:pPr>
        <w:jc w:val="both"/>
      </w:pPr>
    </w:p>
    <w:p w14:paraId="6F429473" w14:textId="3C9B5852" w:rsidR="00330AE3" w:rsidRDefault="00330AE3" w:rsidP="00541E24">
      <w:pPr>
        <w:pStyle w:val="Paragraphedeliste"/>
        <w:jc w:val="both"/>
      </w:pPr>
      <w:r>
        <w:t>Non. Le financement complémentaire de 5.000 euros prend fin au 31 décembre</w:t>
      </w:r>
      <w:r w:rsidR="00C26DB7">
        <w:t xml:space="preserve"> </w:t>
      </w:r>
      <w:r>
        <w:t xml:space="preserve">2023. </w:t>
      </w:r>
    </w:p>
    <w:p w14:paraId="7ECCA8C8" w14:textId="77777777" w:rsidR="00330AE3" w:rsidRDefault="00330AE3" w:rsidP="00330AE3">
      <w:pPr>
        <w:jc w:val="both"/>
        <w:rPr>
          <w:b/>
          <w:bCs/>
          <w:u w:val="single"/>
        </w:rPr>
      </w:pPr>
    </w:p>
    <w:p w14:paraId="794552F6" w14:textId="51066E92" w:rsidR="00330AE3" w:rsidRPr="00541E24" w:rsidRDefault="00330AE3" w:rsidP="00541E24">
      <w:pPr>
        <w:pStyle w:val="Paragraphedeliste"/>
        <w:numPr>
          <w:ilvl w:val="0"/>
          <w:numId w:val="2"/>
        </w:numPr>
        <w:jc w:val="both"/>
        <w:rPr>
          <w:b/>
          <w:bCs/>
          <w:u w:val="single"/>
        </w:rPr>
      </w:pPr>
      <w:r w:rsidRPr="00541E24">
        <w:rPr>
          <w:b/>
          <w:bCs/>
          <w:u w:val="single"/>
        </w:rPr>
        <w:t>Quels types de dépenses sont éligibles ?</w:t>
      </w:r>
    </w:p>
    <w:p w14:paraId="738CB19B" w14:textId="77777777" w:rsidR="00330AE3" w:rsidRDefault="00330AE3" w:rsidP="00330AE3">
      <w:pPr>
        <w:jc w:val="both"/>
        <w:rPr>
          <w:b/>
          <w:bCs/>
          <w:u w:val="single"/>
        </w:rPr>
      </w:pPr>
    </w:p>
    <w:p w14:paraId="77868C74" w14:textId="48B79114" w:rsidR="00330AE3" w:rsidRPr="00330AE3" w:rsidRDefault="00330AE3" w:rsidP="00541E24">
      <w:pPr>
        <w:pStyle w:val="Paragraphedeliste"/>
        <w:jc w:val="both"/>
      </w:pPr>
      <w:r w:rsidRPr="00330AE3">
        <w:t xml:space="preserve">Les dépenses </w:t>
      </w:r>
      <w:r>
        <w:t>éligibles sont les mêmes que pour le PCS.</w:t>
      </w:r>
    </w:p>
    <w:p w14:paraId="7FC735CC" w14:textId="77777777" w:rsidR="00330AE3" w:rsidRDefault="00330AE3" w:rsidP="00330AE3">
      <w:pPr>
        <w:jc w:val="both"/>
        <w:rPr>
          <w:b/>
          <w:bCs/>
          <w:u w:val="single"/>
        </w:rPr>
      </w:pPr>
    </w:p>
    <w:p w14:paraId="1867D676" w14:textId="77777777" w:rsidR="00330AE3" w:rsidRPr="00541E24" w:rsidRDefault="00330AE3" w:rsidP="00541E24">
      <w:pPr>
        <w:pStyle w:val="Paragraphedeliste"/>
        <w:numPr>
          <w:ilvl w:val="0"/>
          <w:numId w:val="2"/>
        </w:numPr>
        <w:jc w:val="both"/>
        <w:rPr>
          <w:b/>
          <w:bCs/>
          <w:u w:val="single"/>
        </w:rPr>
      </w:pPr>
      <w:r w:rsidRPr="00541E24">
        <w:rPr>
          <w:b/>
          <w:bCs/>
          <w:u w:val="single"/>
        </w:rPr>
        <w:t xml:space="preserve">Peut-on valoriser des frais de personnel ? </w:t>
      </w:r>
    </w:p>
    <w:p w14:paraId="629B3060" w14:textId="77777777" w:rsidR="00330AE3" w:rsidRDefault="00330AE3" w:rsidP="00330AE3">
      <w:pPr>
        <w:jc w:val="both"/>
      </w:pPr>
    </w:p>
    <w:p w14:paraId="769BC5F6" w14:textId="2857DAD2" w:rsidR="00330AE3" w:rsidRDefault="00330AE3" w:rsidP="00541E24">
      <w:pPr>
        <w:pStyle w:val="Paragraphedeliste"/>
        <w:jc w:val="both"/>
      </w:pPr>
      <w:r w:rsidRPr="00E4468E">
        <w:t>Oui</w:t>
      </w:r>
      <w:r>
        <w:t>,</w:t>
      </w:r>
      <w:r w:rsidRPr="00E4468E">
        <w:t xml:space="preserve"> si on </w:t>
      </w:r>
      <w:r w:rsidR="00102473">
        <w:t xml:space="preserve">valorise des frais de personnel de l’équipe ou si on </w:t>
      </w:r>
      <w:r w:rsidRPr="00E4468E">
        <w:t>fait appel à un prestataire extérieur</w:t>
      </w:r>
      <w:r>
        <w:t xml:space="preserve"> (ex. </w:t>
      </w:r>
      <w:r w:rsidRPr="00E4468E">
        <w:t>formateur, conférencier, …</w:t>
      </w:r>
      <w:r>
        <w:t>).</w:t>
      </w:r>
      <w:r w:rsidRPr="00E4468E">
        <w:t xml:space="preserve"> Cependant la subvention ne peut servir à la prise en charge d’une partie de la rémunération </w:t>
      </w:r>
      <w:r>
        <w:t xml:space="preserve">d’un agent qui serait déjà par ailleurs financé pour assurer cette mission (ex. </w:t>
      </w:r>
      <w:r w:rsidRPr="00E4468E">
        <w:t xml:space="preserve">agent </w:t>
      </w:r>
      <w:r w:rsidR="00CA77B9">
        <w:t xml:space="preserve">du </w:t>
      </w:r>
      <w:r w:rsidRPr="00E4468E">
        <w:t>CPAS en charge du service énergie</w:t>
      </w:r>
      <w:r w:rsidR="00CA77B9">
        <w:t>,</w:t>
      </w:r>
      <w:r w:rsidRPr="00E4468E">
        <w:t xml:space="preserve"> tuteur énergie</w:t>
      </w:r>
      <w:r w:rsidR="00CA77B9">
        <w:t>, …</w:t>
      </w:r>
      <w:r>
        <w:t>)</w:t>
      </w:r>
      <w:r w:rsidRPr="00E4468E">
        <w:t>.</w:t>
      </w:r>
    </w:p>
    <w:p w14:paraId="228C3E78" w14:textId="77777777" w:rsidR="00330AE3" w:rsidRDefault="00330AE3" w:rsidP="00330AE3">
      <w:pPr>
        <w:jc w:val="both"/>
      </w:pPr>
    </w:p>
    <w:p w14:paraId="67775B3E" w14:textId="0787D917" w:rsidR="00BE2B60" w:rsidRPr="00541E24" w:rsidRDefault="00BE2B60" w:rsidP="00541E24">
      <w:pPr>
        <w:pStyle w:val="Paragraphedeliste"/>
        <w:numPr>
          <w:ilvl w:val="0"/>
          <w:numId w:val="2"/>
        </w:numPr>
        <w:jc w:val="both"/>
        <w:rPr>
          <w:b/>
          <w:bCs/>
          <w:u w:val="single"/>
        </w:rPr>
      </w:pPr>
      <w:r w:rsidRPr="00541E24">
        <w:rPr>
          <w:b/>
          <w:bCs/>
          <w:u w:val="single"/>
        </w:rPr>
        <w:t>L</w:t>
      </w:r>
      <w:r w:rsidR="00E4468E" w:rsidRPr="00541E24">
        <w:rPr>
          <w:b/>
          <w:bCs/>
          <w:u w:val="single"/>
        </w:rPr>
        <w:t xml:space="preserve">es actions développées avec le financement complémentaire </w:t>
      </w:r>
      <w:r w:rsidR="00B3102B" w:rsidRPr="00541E24">
        <w:rPr>
          <w:b/>
          <w:bCs/>
          <w:u w:val="single"/>
        </w:rPr>
        <w:t>feront-elles</w:t>
      </w:r>
      <w:r w:rsidR="00E4468E" w:rsidRPr="00541E24">
        <w:rPr>
          <w:b/>
          <w:bCs/>
          <w:u w:val="single"/>
        </w:rPr>
        <w:t xml:space="preserve"> l’objet </w:t>
      </w:r>
      <w:r w:rsidR="00B3102B" w:rsidRPr="00541E24">
        <w:rPr>
          <w:b/>
          <w:bCs/>
          <w:u w:val="single"/>
        </w:rPr>
        <w:t>d’</w:t>
      </w:r>
      <w:r w:rsidR="00E4468E" w:rsidRPr="00541E24">
        <w:rPr>
          <w:b/>
          <w:bCs/>
          <w:u w:val="single"/>
        </w:rPr>
        <w:t>un rapport d’activités spécifique </w:t>
      </w:r>
      <w:r w:rsidR="00B3102B" w:rsidRPr="00541E24">
        <w:rPr>
          <w:b/>
          <w:bCs/>
          <w:u w:val="single"/>
        </w:rPr>
        <w:t>ou</w:t>
      </w:r>
      <w:r w:rsidR="00E4468E" w:rsidRPr="00541E24">
        <w:rPr>
          <w:b/>
          <w:bCs/>
          <w:u w:val="single"/>
        </w:rPr>
        <w:t xml:space="preserve"> d’un sondage ? </w:t>
      </w:r>
    </w:p>
    <w:p w14:paraId="7C745C2B" w14:textId="77777777" w:rsidR="00BE2B60" w:rsidRDefault="00BE2B60" w:rsidP="00BE2B60">
      <w:pPr>
        <w:jc w:val="both"/>
      </w:pPr>
    </w:p>
    <w:p w14:paraId="77901EA4" w14:textId="79FE917F" w:rsidR="00E4468E" w:rsidRDefault="004D2B32" w:rsidP="00541E24">
      <w:pPr>
        <w:pStyle w:val="Paragraphedeliste"/>
        <w:jc w:val="both"/>
      </w:pPr>
      <w:r>
        <w:t>I</w:t>
      </w:r>
      <w:r w:rsidR="00E4468E">
        <w:t xml:space="preserve">l convient dès à présent de collecter et de conserver </w:t>
      </w:r>
      <w:r>
        <w:t xml:space="preserve">les </w:t>
      </w:r>
      <w:r w:rsidR="00E4468E">
        <w:t xml:space="preserve">indicateurs repris dans les fiches actions </w:t>
      </w:r>
      <w:r>
        <w:t xml:space="preserve">concernées </w:t>
      </w:r>
      <w:r w:rsidR="00E4468E">
        <w:t>du diag</w:t>
      </w:r>
      <w:r>
        <w:t>r</w:t>
      </w:r>
      <w:r w:rsidR="00E4468E">
        <w:t>amme</w:t>
      </w:r>
      <w:r>
        <w:t>, au cas où l’action ne serait pas inscrite dans le tableau de bord</w:t>
      </w:r>
      <w:r w:rsidR="00E4468E">
        <w:t>.</w:t>
      </w:r>
      <w:r>
        <w:t xml:space="preserve"> Un sondage sera réalisé début de l’année 2024.</w:t>
      </w:r>
    </w:p>
    <w:p w14:paraId="36209D96" w14:textId="1C4A656D" w:rsidR="000B2D56" w:rsidRDefault="000B2D56" w:rsidP="00BE2B60">
      <w:pPr>
        <w:jc w:val="both"/>
      </w:pPr>
    </w:p>
    <w:p w14:paraId="6D21C995" w14:textId="6334E1FC" w:rsidR="000B2D56" w:rsidRPr="00541E24" w:rsidRDefault="000B2D56" w:rsidP="00541E24">
      <w:pPr>
        <w:pStyle w:val="Paragraphedeliste"/>
        <w:numPr>
          <w:ilvl w:val="0"/>
          <w:numId w:val="2"/>
        </w:numPr>
        <w:jc w:val="both"/>
        <w:rPr>
          <w:b/>
          <w:bCs/>
          <w:u w:val="single"/>
        </w:rPr>
      </w:pPr>
      <w:r w:rsidRPr="00541E24">
        <w:rPr>
          <w:b/>
          <w:bCs/>
          <w:u w:val="single"/>
        </w:rPr>
        <w:t>Dois-je obligatoirement intégrer le(s) actions dans le tableau de bord ?</w:t>
      </w:r>
    </w:p>
    <w:p w14:paraId="7ECE5A02" w14:textId="4D5FFA48" w:rsidR="000B2D56" w:rsidRDefault="000B2D56" w:rsidP="00BE2B60">
      <w:pPr>
        <w:jc w:val="both"/>
      </w:pPr>
    </w:p>
    <w:p w14:paraId="76118A39" w14:textId="3C56D9F7" w:rsidR="000B2D56" w:rsidRDefault="000B2D56" w:rsidP="00541E24">
      <w:pPr>
        <w:pStyle w:val="Paragraphedeliste"/>
        <w:jc w:val="both"/>
      </w:pPr>
      <w:r>
        <w:t xml:space="preserve">Non. </w:t>
      </w:r>
      <w:r w:rsidR="00CA77B9">
        <w:t>Cependant</w:t>
      </w:r>
      <w:r>
        <w:t>, si vous souhaite</w:t>
      </w:r>
      <w:r w:rsidR="00C26DB7">
        <w:t>z</w:t>
      </w:r>
      <w:r>
        <w:t xml:space="preserve"> les pérenniser au-delà de 2023, il convient de procéder à une modification de </w:t>
      </w:r>
      <w:r w:rsidRPr="00C26DB7">
        <w:t>plan</w:t>
      </w:r>
      <w:r w:rsidR="00C26DB7" w:rsidRPr="00C26DB7">
        <w:t xml:space="preserve"> avant le 31 mars 202</w:t>
      </w:r>
      <w:r w:rsidR="00574E9D">
        <w:t>3</w:t>
      </w:r>
      <w:r w:rsidRPr="00C26DB7">
        <w:t>.</w:t>
      </w:r>
    </w:p>
    <w:p w14:paraId="6AF4B617" w14:textId="48FA76A2" w:rsidR="00AC7BED" w:rsidRDefault="00AC7BED" w:rsidP="00BE2B60">
      <w:pPr>
        <w:jc w:val="both"/>
      </w:pPr>
    </w:p>
    <w:p w14:paraId="4BA5FC71" w14:textId="05785674" w:rsidR="00AC7BED" w:rsidRPr="00541E24" w:rsidRDefault="00AC7BED" w:rsidP="00541E24">
      <w:pPr>
        <w:pStyle w:val="Paragraphedeliste"/>
        <w:numPr>
          <w:ilvl w:val="0"/>
          <w:numId w:val="2"/>
        </w:numPr>
        <w:jc w:val="both"/>
        <w:rPr>
          <w:b/>
          <w:bCs/>
          <w:u w:val="single"/>
        </w:rPr>
      </w:pPr>
      <w:r w:rsidRPr="00541E24">
        <w:rPr>
          <w:b/>
          <w:bCs/>
          <w:u w:val="single"/>
        </w:rPr>
        <w:t>Qu’en est-il si mon PCS comprend déjà une ou plusieurs action(s) liée(s) à l’énergie ?</w:t>
      </w:r>
    </w:p>
    <w:p w14:paraId="314DD62D" w14:textId="121E46FB" w:rsidR="00AC7BED" w:rsidRPr="00E44B7B" w:rsidRDefault="00AC7BED" w:rsidP="00BE2B60">
      <w:pPr>
        <w:jc w:val="both"/>
      </w:pPr>
    </w:p>
    <w:p w14:paraId="2E95BB5D" w14:textId="05C143C0" w:rsidR="00AC7BED" w:rsidRDefault="00AC7BED" w:rsidP="00541E24">
      <w:pPr>
        <w:pStyle w:val="Paragraphedeliste"/>
        <w:jc w:val="both"/>
      </w:pPr>
      <w:r w:rsidRPr="00E44B7B">
        <w:t>La subvention peut être valorisée sur les actions existantes</w:t>
      </w:r>
      <w:r w:rsidR="00F0659A" w:rsidRPr="00E44B7B">
        <w:t>, ce qui permet de réaffecter les économies réalisées sur d’autres actions du plan.</w:t>
      </w:r>
    </w:p>
    <w:p w14:paraId="4A13F412" w14:textId="7A873C70" w:rsidR="00AC7BED" w:rsidRDefault="00AC7BED" w:rsidP="00BE2B60">
      <w:pPr>
        <w:jc w:val="both"/>
      </w:pPr>
    </w:p>
    <w:p w14:paraId="31269617" w14:textId="77777777" w:rsidR="00AC7BED" w:rsidRDefault="00AC7BED" w:rsidP="00BE2B60">
      <w:pPr>
        <w:jc w:val="both"/>
      </w:pPr>
    </w:p>
    <w:p w14:paraId="15CAD4BC" w14:textId="21500019" w:rsidR="004D2B32" w:rsidRDefault="004D2B32" w:rsidP="00BE2B60">
      <w:pPr>
        <w:jc w:val="both"/>
      </w:pPr>
    </w:p>
    <w:p w14:paraId="57914602" w14:textId="77777777" w:rsidR="00AC7BED" w:rsidRDefault="00AC7BED" w:rsidP="00BE2B60">
      <w:pPr>
        <w:jc w:val="both"/>
        <w:rPr>
          <w:b/>
          <w:bCs/>
          <w:u w:val="single"/>
        </w:rPr>
      </w:pPr>
    </w:p>
    <w:p w14:paraId="22955EF2" w14:textId="77777777" w:rsidR="00AC7BED" w:rsidRDefault="00AC7BED" w:rsidP="00BE2B60">
      <w:pPr>
        <w:jc w:val="both"/>
        <w:rPr>
          <w:b/>
          <w:bCs/>
          <w:u w:val="single"/>
        </w:rPr>
      </w:pPr>
    </w:p>
    <w:p w14:paraId="23C3D0B5" w14:textId="7B37B12F" w:rsidR="00BE2B60" w:rsidRPr="00541E24" w:rsidRDefault="00E4468E" w:rsidP="00541E24">
      <w:pPr>
        <w:pStyle w:val="Paragraphedeliste"/>
        <w:numPr>
          <w:ilvl w:val="0"/>
          <w:numId w:val="2"/>
        </w:numPr>
        <w:jc w:val="both"/>
        <w:rPr>
          <w:b/>
          <w:bCs/>
          <w:u w:val="single"/>
        </w:rPr>
      </w:pPr>
      <w:r w:rsidRPr="00541E24">
        <w:rPr>
          <w:b/>
          <w:bCs/>
          <w:u w:val="single"/>
        </w:rPr>
        <w:t>Peut-on mettre en place des actions autres que celles visées dans la circulaire (actions 2.6-01</w:t>
      </w:r>
      <w:r w:rsidR="004D2B32" w:rsidRPr="00541E24">
        <w:rPr>
          <w:b/>
          <w:bCs/>
          <w:u w:val="single"/>
        </w:rPr>
        <w:t>/</w:t>
      </w:r>
      <w:r w:rsidRPr="00541E24">
        <w:rPr>
          <w:b/>
          <w:bCs/>
          <w:u w:val="single"/>
        </w:rPr>
        <w:t>02</w:t>
      </w:r>
      <w:r w:rsidR="004D2B32" w:rsidRPr="00541E24">
        <w:rPr>
          <w:b/>
          <w:bCs/>
          <w:u w:val="single"/>
        </w:rPr>
        <w:t>/</w:t>
      </w:r>
      <w:r w:rsidRPr="00541E24">
        <w:rPr>
          <w:b/>
          <w:bCs/>
          <w:u w:val="single"/>
        </w:rPr>
        <w:t>03</w:t>
      </w:r>
      <w:r w:rsidR="004D2B32" w:rsidRPr="00541E24">
        <w:rPr>
          <w:b/>
          <w:bCs/>
          <w:u w:val="single"/>
        </w:rPr>
        <w:t>/</w:t>
      </w:r>
      <w:r w:rsidRPr="00541E24">
        <w:rPr>
          <w:b/>
          <w:bCs/>
          <w:u w:val="single"/>
        </w:rPr>
        <w:t xml:space="preserve">04 )? </w:t>
      </w:r>
    </w:p>
    <w:p w14:paraId="3BD3AA91" w14:textId="77777777" w:rsidR="00BE2B60" w:rsidRPr="00E44B7B" w:rsidRDefault="00BE2B60" w:rsidP="00BE2B60">
      <w:pPr>
        <w:jc w:val="both"/>
      </w:pPr>
    </w:p>
    <w:p w14:paraId="32F0EAFD" w14:textId="279C9041" w:rsidR="00E4468E" w:rsidRDefault="00194621" w:rsidP="00541E24">
      <w:pPr>
        <w:pStyle w:val="Paragraphedeliste"/>
        <w:jc w:val="both"/>
      </w:pPr>
      <w:r w:rsidRPr="00E44B7B">
        <w:t xml:space="preserve">Oui. </w:t>
      </w:r>
      <w:r w:rsidR="00AC7BED" w:rsidRPr="00E44B7B">
        <w:t xml:space="preserve">La liste des actions mentionnées dans le courrier est exemplative. D’autres actions en lien avec la crise énergétique peuvent être menées. </w:t>
      </w:r>
      <w:r w:rsidRPr="00E44B7B">
        <w:t xml:space="preserve">Dans ce cas, il est vivement conseillé de prendre contact </w:t>
      </w:r>
      <w:r w:rsidRPr="00541E24">
        <w:rPr>
          <w:b/>
          <w:bCs/>
          <w:u w:val="single"/>
        </w:rPr>
        <w:t>au préalable</w:t>
      </w:r>
      <w:r w:rsidRPr="00E44B7B">
        <w:t xml:space="preserve"> avec votre agent référent afin de vous assurer de la pertinence de l’action envisagée et de l’éligibilité des dépenses qui en découleront.</w:t>
      </w:r>
    </w:p>
    <w:p w14:paraId="000BAFD4" w14:textId="77777777" w:rsidR="00C26DB7" w:rsidRDefault="00C26DB7" w:rsidP="00BE1EE2">
      <w:pPr>
        <w:jc w:val="both"/>
        <w:rPr>
          <w:b/>
          <w:bCs/>
          <w:u w:val="single"/>
        </w:rPr>
      </w:pPr>
    </w:p>
    <w:p w14:paraId="72A4B1A2" w14:textId="34C837A6" w:rsidR="00BE1EE2" w:rsidRPr="00541E24" w:rsidRDefault="00BE1EE2" w:rsidP="00541E24">
      <w:pPr>
        <w:pStyle w:val="Paragraphedeliste"/>
        <w:numPr>
          <w:ilvl w:val="0"/>
          <w:numId w:val="2"/>
        </w:numPr>
        <w:jc w:val="both"/>
        <w:rPr>
          <w:b/>
          <w:bCs/>
          <w:u w:val="single"/>
        </w:rPr>
      </w:pPr>
      <w:r w:rsidRPr="00541E24">
        <w:rPr>
          <w:b/>
          <w:bCs/>
          <w:u w:val="single"/>
        </w:rPr>
        <w:t xml:space="preserve">Les actions développées doivent-elles viser </w:t>
      </w:r>
      <w:r w:rsidR="00296102" w:rsidRPr="00541E24">
        <w:rPr>
          <w:b/>
          <w:bCs/>
          <w:u w:val="single"/>
        </w:rPr>
        <w:t>principalement et globalement les économies d’énergie ?</w:t>
      </w:r>
    </w:p>
    <w:p w14:paraId="274B23D7" w14:textId="17E256E1" w:rsidR="00BE1EE2" w:rsidRDefault="00BE1EE2" w:rsidP="00BE1EE2">
      <w:pPr>
        <w:jc w:val="both"/>
      </w:pPr>
    </w:p>
    <w:p w14:paraId="0DF6B87A" w14:textId="452459A8" w:rsidR="00BE1EE2" w:rsidRDefault="00296102" w:rsidP="00541E24">
      <w:pPr>
        <w:pStyle w:val="Paragraphedeliste"/>
        <w:jc w:val="both"/>
      </w:pPr>
      <w:r>
        <w:t xml:space="preserve">Oui. </w:t>
      </w:r>
      <w:r w:rsidR="00BE1EE2">
        <w:t xml:space="preserve">Par exemple, un atelier culinaire </w:t>
      </w:r>
      <w:r w:rsidR="00014460">
        <w:t xml:space="preserve">(ex. bon usage de la plaque vitrocéramique, utilisation d’un couvercle sur la casserole, … ) </w:t>
      </w:r>
      <w:r w:rsidR="00BE1EE2">
        <w:t xml:space="preserve">destiné à réduire la facture énergétique ne serait pas à lui seul éligible. En effet, il </w:t>
      </w:r>
      <w:r>
        <w:t xml:space="preserve">est impératif </w:t>
      </w:r>
      <w:r w:rsidR="00BE1EE2">
        <w:t xml:space="preserve">d’offrir aux bénéficiaires plusieurs pistes de solution pour faire face à la hausse des coûts énergétiques. L’impact d’un tel atelier serait marginal. </w:t>
      </w:r>
      <w:r w:rsidR="00CA77B9">
        <w:t>Le cas échéant, i</w:t>
      </w:r>
      <w:r w:rsidR="00BE1EE2">
        <w:t xml:space="preserve">l </w:t>
      </w:r>
      <w:r w:rsidR="00CA77B9">
        <w:t>serait pertinent</w:t>
      </w:r>
      <w:r w:rsidR="00BE1EE2">
        <w:t xml:space="preserve"> de l’intégrer dans une sensibilisation plus générale avec d’autres moyens permettant d’alléger la facture d’énergie.</w:t>
      </w:r>
    </w:p>
    <w:p w14:paraId="5BE5145E" w14:textId="7E4B4B96" w:rsidR="00296102" w:rsidRDefault="00296102" w:rsidP="00BE1EE2">
      <w:pPr>
        <w:jc w:val="both"/>
      </w:pPr>
    </w:p>
    <w:p w14:paraId="299FB9D9" w14:textId="3E55D30E" w:rsidR="00296102" w:rsidRPr="00541E24" w:rsidRDefault="00296102" w:rsidP="00541E24">
      <w:pPr>
        <w:pStyle w:val="Paragraphedeliste"/>
        <w:numPr>
          <w:ilvl w:val="0"/>
          <w:numId w:val="2"/>
        </w:numPr>
        <w:jc w:val="both"/>
        <w:rPr>
          <w:b/>
          <w:bCs/>
          <w:u w:val="single"/>
        </w:rPr>
      </w:pPr>
      <w:r w:rsidRPr="00541E24">
        <w:rPr>
          <w:b/>
          <w:bCs/>
          <w:u w:val="single"/>
        </w:rPr>
        <w:t>Comment déterminer efficacement des actions pertinentes à mettre en œuvre ?</w:t>
      </w:r>
    </w:p>
    <w:p w14:paraId="7D8E9CEB" w14:textId="5C9C05CC" w:rsidR="00296102" w:rsidRDefault="00296102" w:rsidP="00BE1EE2">
      <w:pPr>
        <w:jc w:val="both"/>
      </w:pPr>
    </w:p>
    <w:p w14:paraId="6642ECBB" w14:textId="4630D93E" w:rsidR="00296102" w:rsidRDefault="00296102" w:rsidP="00541E24">
      <w:pPr>
        <w:pStyle w:val="Paragraphedeliste"/>
        <w:jc w:val="both"/>
      </w:pPr>
      <w:r>
        <w:t xml:space="preserve">Il est conseillé de réunir les partenaires </w:t>
      </w:r>
      <w:r w:rsidR="001A25C8">
        <w:t xml:space="preserve">locaux </w:t>
      </w:r>
      <w:r>
        <w:t xml:space="preserve">du secteur </w:t>
      </w:r>
      <w:r w:rsidR="00C26DB7">
        <w:t xml:space="preserve">(ex. CPAS, tuteur énergie, guichet de l’énergie, référent social SLSP, association, …) </w:t>
      </w:r>
      <w:r>
        <w:t xml:space="preserve">afin d'identifier </w:t>
      </w:r>
      <w:r w:rsidR="001A25C8">
        <w:t xml:space="preserve">ensemble </w:t>
      </w:r>
      <w:r>
        <w:t>les besoins et de se focaliser en priorité sur les publics précarisés en développant des solutions et outils ciblés</w:t>
      </w:r>
      <w:r w:rsidR="00C26DB7">
        <w:t xml:space="preserve"> et coordonnés</w:t>
      </w:r>
      <w:r>
        <w:t>. Il peut être utile aussi d’interagir avec les autres PCS afin de mutualiser les expertises.</w:t>
      </w:r>
    </w:p>
    <w:p w14:paraId="18575322" w14:textId="77777777" w:rsidR="00BE1EE2" w:rsidRDefault="00BE1EE2" w:rsidP="00BE2B60">
      <w:pPr>
        <w:jc w:val="both"/>
        <w:rPr>
          <w:b/>
          <w:bCs/>
          <w:u w:val="single"/>
        </w:rPr>
      </w:pPr>
    </w:p>
    <w:p w14:paraId="3334CBD9" w14:textId="1CA550CD" w:rsidR="00BE2B60" w:rsidRPr="00541E24" w:rsidRDefault="00E4468E" w:rsidP="00541E24">
      <w:pPr>
        <w:pStyle w:val="Paragraphedeliste"/>
        <w:numPr>
          <w:ilvl w:val="0"/>
          <w:numId w:val="2"/>
        </w:numPr>
        <w:jc w:val="both"/>
        <w:rPr>
          <w:b/>
          <w:bCs/>
          <w:u w:val="single"/>
        </w:rPr>
      </w:pPr>
      <w:r w:rsidRPr="00541E24">
        <w:rPr>
          <w:b/>
          <w:bCs/>
          <w:u w:val="single"/>
        </w:rPr>
        <w:t xml:space="preserve">Peut-on acheter des </w:t>
      </w:r>
      <w:r w:rsidR="004015A2" w:rsidRPr="00541E24">
        <w:rPr>
          <w:b/>
          <w:bCs/>
          <w:u w:val="single"/>
        </w:rPr>
        <w:t xml:space="preserve">fournitures </w:t>
      </w:r>
      <w:r w:rsidR="001A25C8" w:rsidRPr="00541E24">
        <w:rPr>
          <w:b/>
          <w:bCs/>
          <w:u w:val="single"/>
        </w:rPr>
        <w:t xml:space="preserve">à </w:t>
      </w:r>
      <w:r w:rsidR="004015A2" w:rsidRPr="00541E24">
        <w:rPr>
          <w:b/>
          <w:bCs/>
          <w:u w:val="single"/>
        </w:rPr>
        <w:t xml:space="preserve">destination </w:t>
      </w:r>
      <w:r w:rsidR="001A25C8" w:rsidRPr="00541E24">
        <w:rPr>
          <w:b/>
          <w:bCs/>
          <w:u w:val="single"/>
        </w:rPr>
        <w:t xml:space="preserve">directe </w:t>
      </w:r>
      <w:r w:rsidR="004015A2" w:rsidRPr="00541E24">
        <w:rPr>
          <w:b/>
          <w:bCs/>
          <w:u w:val="single"/>
        </w:rPr>
        <w:t xml:space="preserve">des bénéficiaires (ex. </w:t>
      </w:r>
      <w:r w:rsidRPr="00541E24">
        <w:rPr>
          <w:b/>
          <w:bCs/>
          <w:u w:val="single"/>
        </w:rPr>
        <w:t>kit énergie, ampoules</w:t>
      </w:r>
      <w:r w:rsidR="004015A2" w:rsidRPr="00541E24">
        <w:rPr>
          <w:b/>
          <w:bCs/>
          <w:u w:val="single"/>
        </w:rPr>
        <w:t xml:space="preserve"> LED</w:t>
      </w:r>
      <w:r w:rsidRPr="00541E24">
        <w:rPr>
          <w:b/>
          <w:bCs/>
          <w:u w:val="single"/>
        </w:rPr>
        <w:t xml:space="preserve">, </w:t>
      </w:r>
      <w:r w:rsidR="004015A2" w:rsidRPr="00541E24">
        <w:rPr>
          <w:b/>
          <w:bCs/>
          <w:u w:val="single"/>
        </w:rPr>
        <w:t>…)</w:t>
      </w:r>
      <w:r w:rsidRPr="00541E24">
        <w:rPr>
          <w:b/>
          <w:bCs/>
          <w:u w:val="single"/>
        </w:rPr>
        <w:t xml:space="preserve"> ? </w:t>
      </w:r>
    </w:p>
    <w:p w14:paraId="56DA4455" w14:textId="77777777" w:rsidR="00BE2B60" w:rsidRDefault="00BE2B60" w:rsidP="00BE2B60">
      <w:pPr>
        <w:jc w:val="both"/>
      </w:pPr>
    </w:p>
    <w:p w14:paraId="3CE2E5FA" w14:textId="5E8E9918" w:rsidR="00E4468E" w:rsidRDefault="00E4468E" w:rsidP="00541E24">
      <w:pPr>
        <w:pStyle w:val="Paragraphedeliste"/>
        <w:jc w:val="both"/>
      </w:pPr>
      <w:r w:rsidRPr="00E4468E">
        <w:t>N</w:t>
      </w:r>
      <w:r w:rsidR="004015A2">
        <w:t>on. Les aides individuelles ne sont pas éligibles dans le cadre du PCS.</w:t>
      </w:r>
      <w:r w:rsidRPr="00E4468E">
        <w:t xml:space="preserve"> </w:t>
      </w:r>
      <w:proofErr w:type="gramStart"/>
      <w:r w:rsidR="00847511">
        <w:t>Par contre</w:t>
      </w:r>
      <w:proofErr w:type="gramEnd"/>
      <w:r w:rsidR="00847511">
        <w:t xml:space="preserve"> le matériel didactique nécessaire à réaliser l’atelier peut être pris en charge.</w:t>
      </w:r>
    </w:p>
    <w:p w14:paraId="679D7EA9" w14:textId="75B664AE" w:rsidR="00E4468E" w:rsidRDefault="00E4468E" w:rsidP="00E4468E">
      <w:pPr>
        <w:jc w:val="both"/>
      </w:pPr>
    </w:p>
    <w:p w14:paraId="71415AD3" w14:textId="45155F82" w:rsidR="00A555F6" w:rsidRPr="00541E24" w:rsidRDefault="0074149A" w:rsidP="00541E24">
      <w:pPr>
        <w:pStyle w:val="Paragraphedeliste"/>
        <w:numPr>
          <w:ilvl w:val="0"/>
          <w:numId w:val="2"/>
        </w:numPr>
        <w:jc w:val="both"/>
        <w:rPr>
          <w:b/>
          <w:bCs/>
          <w:u w:val="single"/>
        </w:rPr>
      </w:pPr>
      <w:r w:rsidRPr="00541E24">
        <w:rPr>
          <w:b/>
          <w:bCs/>
          <w:u w:val="single"/>
        </w:rPr>
        <w:t>Peut-on valoriser des frais d'investissement pour la rénovation énergétique d’un logement d’insertion</w:t>
      </w:r>
      <w:r w:rsidR="008B3ECB" w:rsidRPr="00541E24">
        <w:rPr>
          <w:b/>
          <w:bCs/>
          <w:u w:val="single"/>
        </w:rPr>
        <w:t xml:space="preserve"> </w:t>
      </w:r>
      <w:r w:rsidRPr="00541E24">
        <w:rPr>
          <w:b/>
          <w:bCs/>
          <w:u w:val="single"/>
        </w:rPr>
        <w:t>ou social ?</w:t>
      </w:r>
    </w:p>
    <w:p w14:paraId="538C63F9" w14:textId="77777777" w:rsidR="0074149A" w:rsidRDefault="0074149A" w:rsidP="00E4468E">
      <w:pPr>
        <w:jc w:val="both"/>
      </w:pPr>
    </w:p>
    <w:p w14:paraId="38987DAB" w14:textId="1E704178" w:rsidR="0074149A" w:rsidRDefault="0074149A" w:rsidP="00541E24">
      <w:pPr>
        <w:pStyle w:val="Paragraphedeliste"/>
        <w:jc w:val="both"/>
      </w:pPr>
      <w:r w:rsidRPr="0074149A">
        <w:t>Non, ces frais sont à charge du propriétaire.</w:t>
      </w:r>
    </w:p>
    <w:p w14:paraId="5E686DD3" w14:textId="77777777" w:rsidR="00BE1EE2" w:rsidRDefault="00BE1EE2" w:rsidP="00BE1EE2">
      <w:pPr>
        <w:jc w:val="both"/>
      </w:pPr>
    </w:p>
    <w:p w14:paraId="5B7ADBAF" w14:textId="753DED9C" w:rsidR="0074149A" w:rsidRPr="00541E24" w:rsidRDefault="0074149A" w:rsidP="00541E24">
      <w:pPr>
        <w:pStyle w:val="Paragraphedeliste"/>
        <w:numPr>
          <w:ilvl w:val="0"/>
          <w:numId w:val="2"/>
        </w:numPr>
        <w:jc w:val="both"/>
        <w:rPr>
          <w:b/>
          <w:bCs/>
          <w:u w:val="single"/>
        </w:rPr>
      </w:pPr>
      <w:r w:rsidRPr="00541E24">
        <w:rPr>
          <w:b/>
          <w:bCs/>
          <w:u w:val="single"/>
        </w:rPr>
        <w:t xml:space="preserve">Peut-on prendre en charge les frais de carburant d'une asbl non conventionnée dans le PCS qui propose un « taxi social » et rencontre des difficultés financières </w:t>
      </w:r>
      <w:proofErr w:type="gramStart"/>
      <w:r w:rsidRPr="00541E24">
        <w:rPr>
          <w:b/>
          <w:bCs/>
          <w:u w:val="single"/>
        </w:rPr>
        <w:t>suite à</w:t>
      </w:r>
      <w:proofErr w:type="gramEnd"/>
      <w:r w:rsidRPr="00541E24">
        <w:rPr>
          <w:b/>
          <w:bCs/>
          <w:u w:val="single"/>
        </w:rPr>
        <w:t xml:space="preserve"> l’augmentation des coûts?</w:t>
      </w:r>
    </w:p>
    <w:p w14:paraId="7703AF1F" w14:textId="77777777" w:rsidR="0074149A" w:rsidRDefault="0074149A" w:rsidP="00BE1EE2">
      <w:pPr>
        <w:jc w:val="both"/>
      </w:pPr>
    </w:p>
    <w:p w14:paraId="5CCEEFF1" w14:textId="63D17F0B" w:rsidR="0074149A" w:rsidRDefault="0074149A" w:rsidP="00541E24">
      <w:pPr>
        <w:pStyle w:val="Paragraphedeliste"/>
        <w:jc w:val="both"/>
      </w:pPr>
      <w:r w:rsidRPr="0074149A">
        <w:t>Non, le PCS ne peut financer un partenaire que si celui-ci se voit confier la réalisation d'une action menée dans le cadre du PCS.</w:t>
      </w:r>
    </w:p>
    <w:p w14:paraId="379E82F0" w14:textId="1453E02A" w:rsidR="0074149A" w:rsidRDefault="0074149A" w:rsidP="00BE1EE2">
      <w:pPr>
        <w:jc w:val="both"/>
      </w:pPr>
    </w:p>
    <w:p w14:paraId="740DC6A2" w14:textId="5F56F5F2" w:rsidR="0074149A" w:rsidRPr="00541E24" w:rsidRDefault="0074149A" w:rsidP="00541E24">
      <w:pPr>
        <w:pStyle w:val="Paragraphedeliste"/>
        <w:numPr>
          <w:ilvl w:val="0"/>
          <w:numId w:val="2"/>
        </w:numPr>
        <w:jc w:val="both"/>
        <w:rPr>
          <w:b/>
          <w:bCs/>
          <w:u w:val="single"/>
        </w:rPr>
      </w:pPr>
      <w:r w:rsidRPr="00541E24">
        <w:rPr>
          <w:b/>
          <w:bCs/>
          <w:u w:val="single"/>
        </w:rPr>
        <w:t>Peut-on prendre en charge l’achat de mazout pour les personnes précarisées?</w:t>
      </w:r>
    </w:p>
    <w:p w14:paraId="262624C0" w14:textId="205C9971" w:rsidR="0074149A" w:rsidRDefault="0074149A" w:rsidP="00BE1EE2">
      <w:pPr>
        <w:jc w:val="both"/>
      </w:pPr>
    </w:p>
    <w:p w14:paraId="1B7746AA" w14:textId="7D9DBA25" w:rsidR="0074149A" w:rsidRDefault="0074149A" w:rsidP="00541E24">
      <w:pPr>
        <w:pStyle w:val="Paragraphedeliste"/>
        <w:jc w:val="both"/>
      </w:pPr>
      <w:r w:rsidRPr="0074149A">
        <w:t>Non. Les aides individuelles ne sont pas éligibles dans le cadre du PCS.</w:t>
      </w:r>
    </w:p>
    <w:p w14:paraId="26FB2510" w14:textId="77777777" w:rsidR="00541E24" w:rsidRDefault="00541E24" w:rsidP="00541E24">
      <w:pPr>
        <w:pStyle w:val="Paragraphedeliste"/>
        <w:jc w:val="both"/>
      </w:pPr>
    </w:p>
    <w:p w14:paraId="26CF4A2B" w14:textId="795D1841" w:rsidR="0074149A" w:rsidRDefault="0074149A" w:rsidP="00BE1EE2">
      <w:pPr>
        <w:jc w:val="both"/>
      </w:pPr>
    </w:p>
    <w:p w14:paraId="03785E24" w14:textId="7C760CEC" w:rsidR="0074149A" w:rsidRPr="00541E24" w:rsidRDefault="0074149A" w:rsidP="00541E24">
      <w:pPr>
        <w:pStyle w:val="Paragraphedeliste"/>
        <w:numPr>
          <w:ilvl w:val="0"/>
          <w:numId w:val="2"/>
        </w:numPr>
        <w:jc w:val="both"/>
        <w:rPr>
          <w:b/>
          <w:bCs/>
          <w:u w:val="single"/>
        </w:rPr>
      </w:pPr>
      <w:r w:rsidRPr="00541E24">
        <w:rPr>
          <w:b/>
          <w:bCs/>
          <w:u w:val="single"/>
        </w:rPr>
        <w:lastRenderedPageBreak/>
        <w:t>Le PCS peut-il faire l'acquisition de scans thermiques pour identifier au sein des logements sociaux et des habitations privées les sources de déperditions énergétiques ?</w:t>
      </w:r>
    </w:p>
    <w:p w14:paraId="57DAC46D" w14:textId="7EAE6BD3" w:rsidR="0074149A" w:rsidRDefault="0074149A" w:rsidP="00BE1EE2">
      <w:pPr>
        <w:jc w:val="both"/>
      </w:pPr>
    </w:p>
    <w:p w14:paraId="2450285B" w14:textId="6C251FAB" w:rsidR="00541E24" w:rsidRDefault="00541E24" w:rsidP="00541E24">
      <w:pPr>
        <w:pStyle w:val="Paragraphedeliste"/>
        <w:jc w:val="both"/>
      </w:pPr>
      <w:r w:rsidRPr="00805B14">
        <w:t>Oui</w:t>
      </w:r>
      <w:r w:rsidR="007817E4" w:rsidRPr="00805B14">
        <w:t>, s</w:t>
      </w:r>
      <w:r w:rsidRPr="00805B14">
        <w:t xml:space="preserve">i </w:t>
      </w:r>
      <w:r w:rsidR="007817E4" w:rsidRPr="00805B14">
        <w:t xml:space="preserve">l’action est mise en lien avec par exemple la </w:t>
      </w:r>
      <w:r w:rsidRPr="00805B14">
        <w:t>constitution d</w:t>
      </w:r>
      <w:r w:rsidR="007817E4" w:rsidRPr="00805B14">
        <w:t>’une</w:t>
      </w:r>
      <w:r w:rsidRPr="00805B14">
        <w:t xml:space="preserve"> demande de prime</w:t>
      </w:r>
      <w:r w:rsidR="007817E4" w:rsidRPr="00805B14">
        <w:t xml:space="preserve"> et notamment pour des personnes </w:t>
      </w:r>
      <w:r w:rsidRPr="00805B14">
        <w:t xml:space="preserve">qui ne </w:t>
      </w:r>
      <w:r w:rsidR="007817E4" w:rsidRPr="00805B14">
        <w:t>maîtriserait</w:t>
      </w:r>
      <w:r w:rsidRPr="00805B14">
        <w:t xml:space="preserve"> pas bien le français ou autre</w:t>
      </w:r>
      <w:r w:rsidR="007D006A" w:rsidRPr="00805B14">
        <w:t>.</w:t>
      </w:r>
    </w:p>
    <w:p w14:paraId="1E6A98C5" w14:textId="77777777" w:rsidR="00541E24" w:rsidRDefault="00541E24" w:rsidP="00541E24">
      <w:pPr>
        <w:pStyle w:val="Paragraphedeliste"/>
        <w:jc w:val="both"/>
      </w:pPr>
    </w:p>
    <w:p w14:paraId="7E5EB765" w14:textId="4768E6C9" w:rsidR="0074149A" w:rsidRDefault="0074149A" w:rsidP="00541E24">
      <w:pPr>
        <w:pStyle w:val="Paragraphedeliste"/>
        <w:jc w:val="both"/>
      </w:pPr>
      <w:r>
        <w:t>Cet outil permet d’identifier les déperditions de chaleur au niveau d’un logement et va généralement déboucher sur le constat qu’il y a des travaux à faire (isoler le toit, les murs, le sol, changer les châssis, …).</w:t>
      </w:r>
    </w:p>
    <w:p w14:paraId="7CD3FC11" w14:textId="77777777" w:rsidR="0074149A" w:rsidRDefault="0074149A" w:rsidP="0074149A">
      <w:pPr>
        <w:jc w:val="both"/>
      </w:pPr>
    </w:p>
    <w:p w14:paraId="12AE9B59" w14:textId="44AA42B5" w:rsidR="0074149A" w:rsidRDefault="0074149A" w:rsidP="00541E24">
      <w:pPr>
        <w:pStyle w:val="Paragraphedeliste"/>
        <w:jc w:val="both"/>
      </w:pPr>
      <w:r>
        <w:t>Entamer cette démarche chez les locataires n’a guère de sens car ils n’ont pas de prise sur ce type de travaux qui incombent aux propriétaires. Pour les logements sociaux, les propriétaires (SLSP, communes, CPAS …) sont généralement bien au courant des problèmes énergétiques de leurs logements. Chez des propriétaires, si on cible des personnes qui sont durement impactées par la crise énergétique, il y a peu de chance qu’ils puissent financer par la suite un audit puis des travaux. Dès lors, il faudrait que l’action consiste parallèlement à accompagner les bénéficiaires dans l'élaboration d'un dossier de demande de primes.</w:t>
      </w:r>
    </w:p>
    <w:p w14:paraId="52CE0114" w14:textId="77777777" w:rsidR="0074149A" w:rsidRDefault="0074149A" w:rsidP="0074149A">
      <w:pPr>
        <w:jc w:val="both"/>
      </w:pPr>
    </w:p>
    <w:p w14:paraId="046B82E1" w14:textId="1E06A709" w:rsidR="0074149A" w:rsidRDefault="0074149A" w:rsidP="00541E24">
      <w:pPr>
        <w:pStyle w:val="Paragraphedeliste"/>
        <w:jc w:val="both"/>
      </w:pPr>
      <w:r>
        <w:t>Il est également à noter que la subvention de 5000€ étant ponctuelle et limitée dans le temps, les frais d'investissement ne pourront être amortis au-delà de 1000€ HTVA.</w:t>
      </w:r>
    </w:p>
    <w:p w14:paraId="0042CAA2" w14:textId="1D644B79" w:rsidR="0074149A" w:rsidRDefault="0074149A" w:rsidP="0074149A">
      <w:pPr>
        <w:jc w:val="both"/>
      </w:pPr>
    </w:p>
    <w:p w14:paraId="2BB0114A" w14:textId="338677E7" w:rsidR="0074149A" w:rsidRPr="00541E24" w:rsidRDefault="0074149A" w:rsidP="00541E24">
      <w:pPr>
        <w:pStyle w:val="Paragraphedeliste"/>
        <w:numPr>
          <w:ilvl w:val="0"/>
          <w:numId w:val="2"/>
        </w:numPr>
        <w:jc w:val="both"/>
        <w:rPr>
          <w:b/>
          <w:bCs/>
          <w:u w:val="single"/>
        </w:rPr>
      </w:pPr>
      <w:r w:rsidRPr="00541E24">
        <w:rPr>
          <w:b/>
          <w:bCs/>
          <w:u w:val="single"/>
        </w:rPr>
        <w:t>Peut-on créer des malles pédagogiques à destination de divers publics (enfants/ados/adultes) afin de proposer des ateliers de sensibilisation?</w:t>
      </w:r>
    </w:p>
    <w:p w14:paraId="48B2B05C" w14:textId="0A24924A" w:rsidR="0074149A" w:rsidRDefault="0074149A" w:rsidP="0074149A">
      <w:pPr>
        <w:jc w:val="both"/>
      </w:pPr>
    </w:p>
    <w:p w14:paraId="380CE4B2" w14:textId="3A97B1A9" w:rsidR="0074149A" w:rsidRDefault="0074149A" w:rsidP="00541E24">
      <w:pPr>
        <w:pStyle w:val="Paragraphedeliste"/>
        <w:jc w:val="both"/>
      </w:pPr>
      <w:r>
        <w:t>Oui.</w:t>
      </w:r>
    </w:p>
    <w:p w14:paraId="688767A6" w14:textId="2DA0418B" w:rsidR="0074149A" w:rsidRDefault="0074149A" w:rsidP="0074149A">
      <w:pPr>
        <w:jc w:val="both"/>
      </w:pPr>
    </w:p>
    <w:p w14:paraId="77FF3D18" w14:textId="097091CE" w:rsidR="0074149A" w:rsidRPr="00541E24" w:rsidRDefault="0074149A" w:rsidP="00541E24">
      <w:pPr>
        <w:pStyle w:val="Paragraphedeliste"/>
        <w:numPr>
          <w:ilvl w:val="0"/>
          <w:numId w:val="2"/>
        </w:numPr>
        <w:jc w:val="both"/>
        <w:rPr>
          <w:b/>
          <w:bCs/>
          <w:u w:val="single"/>
        </w:rPr>
      </w:pPr>
      <w:r w:rsidRPr="00541E24">
        <w:rPr>
          <w:b/>
          <w:bCs/>
          <w:u w:val="single"/>
        </w:rPr>
        <w:t>Pouvez-vous me confirmer que ce subside complémentaire peut être reversé en tout ou en partie à un partenaire (CPAS ou autre) pour mettre en place les actions citées ?</w:t>
      </w:r>
    </w:p>
    <w:p w14:paraId="3E963366" w14:textId="233EA64D" w:rsidR="0074149A" w:rsidRDefault="0074149A" w:rsidP="0074149A">
      <w:pPr>
        <w:jc w:val="both"/>
      </w:pPr>
    </w:p>
    <w:p w14:paraId="357E8E12" w14:textId="05F2A879" w:rsidR="0074149A" w:rsidRDefault="0074149A" w:rsidP="00541E24">
      <w:pPr>
        <w:pStyle w:val="Paragraphedeliste"/>
        <w:jc w:val="both"/>
      </w:pPr>
      <w:r w:rsidRPr="0074149A">
        <w:t>Les dépenses éligibles sont les mêmes que pour le PCS. Il est donc autorisé de confier à un partenaire la réalisation d'une action et de le rémunérer dans ce cadre.</w:t>
      </w:r>
    </w:p>
    <w:sectPr w:rsidR="0074149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BDDD5" w14:textId="77777777" w:rsidR="00BE2B60" w:rsidRDefault="00BE2B60" w:rsidP="00BE2B60">
      <w:r>
        <w:separator/>
      </w:r>
    </w:p>
  </w:endnote>
  <w:endnote w:type="continuationSeparator" w:id="0">
    <w:p w14:paraId="2FB37A9A" w14:textId="77777777" w:rsidR="00BE2B60" w:rsidRDefault="00BE2B60" w:rsidP="00BE2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821A6" w14:textId="77777777" w:rsidR="00BE2B60" w:rsidRDefault="00BE2B60" w:rsidP="00BE2B60">
      <w:r>
        <w:separator/>
      </w:r>
    </w:p>
  </w:footnote>
  <w:footnote w:type="continuationSeparator" w:id="0">
    <w:p w14:paraId="42739B07" w14:textId="77777777" w:rsidR="00BE2B60" w:rsidRDefault="00BE2B60" w:rsidP="00BE2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9030" w14:textId="7B30829B" w:rsidR="00BE2B60" w:rsidRDefault="00BE2B60" w:rsidP="00BE2B60">
    <w:pPr>
      <w:pStyle w:val="En-tte"/>
      <w:jc w:val="center"/>
    </w:pPr>
    <w:r>
      <w:rPr>
        <w:noProof/>
      </w:rPr>
      <w:drawing>
        <wp:inline distT="0" distB="0" distL="0" distR="0" wp14:anchorId="0F0F8021" wp14:editId="60B3235D">
          <wp:extent cx="5401067" cy="359665"/>
          <wp:effectExtent l="0" t="0" r="0" b="254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5401067" cy="3596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51AA0"/>
    <w:multiLevelType w:val="hybridMultilevel"/>
    <w:tmpl w:val="572A7652"/>
    <w:lvl w:ilvl="0" w:tplc="88EC4E40">
      <w:numFmt w:val="bullet"/>
      <w:lvlText w:val="-"/>
      <w:lvlJc w:val="left"/>
      <w:pPr>
        <w:ind w:left="408" w:hanging="360"/>
      </w:pPr>
      <w:rPr>
        <w:rFonts w:ascii="Calibri" w:eastAsiaTheme="minorHAnsi" w:hAnsi="Calibri" w:cs="Calibri" w:hint="default"/>
      </w:rPr>
    </w:lvl>
    <w:lvl w:ilvl="1" w:tplc="080C0003" w:tentative="1">
      <w:start w:val="1"/>
      <w:numFmt w:val="bullet"/>
      <w:lvlText w:val="o"/>
      <w:lvlJc w:val="left"/>
      <w:pPr>
        <w:ind w:left="1128" w:hanging="360"/>
      </w:pPr>
      <w:rPr>
        <w:rFonts w:ascii="Courier New" w:hAnsi="Courier New" w:cs="Courier New" w:hint="default"/>
      </w:rPr>
    </w:lvl>
    <w:lvl w:ilvl="2" w:tplc="080C0005" w:tentative="1">
      <w:start w:val="1"/>
      <w:numFmt w:val="bullet"/>
      <w:lvlText w:val=""/>
      <w:lvlJc w:val="left"/>
      <w:pPr>
        <w:ind w:left="1848" w:hanging="360"/>
      </w:pPr>
      <w:rPr>
        <w:rFonts w:ascii="Wingdings" w:hAnsi="Wingdings" w:hint="default"/>
      </w:rPr>
    </w:lvl>
    <w:lvl w:ilvl="3" w:tplc="080C0001" w:tentative="1">
      <w:start w:val="1"/>
      <w:numFmt w:val="bullet"/>
      <w:lvlText w:val=""/>
      <w:lvlJc w:val="left"/>
      <w:pPr>
        <w:ind w:left="2568" w:hanging="360"/>
      </w:pPr>
      <w:rPr>
        <w:rFonts w:ascii="Symbol" w:hAnsi="Symbol" w:hint="default"/>
      </w:rPr>
    </w:lvl>
    <w:lvl w:ilvl="4" w:tplc="080C0003" w:tentative="1">
      <w:start w:val="1"/>
      <w:numFmt w:val="bullet"/>
      <w:lvlText w:val="o"/>
      <w:lvlJc w:val="left"/>
      <w:pPr>
        <w:ind w:left="3288" w:hanging="360"/>
      </w:pPr>
      <w:rPr>
        <w:rFonts w:ascii="Courier New" w:hAnsi="Courier New" w:cs="Courier New" w:hint="default"/>
      </w:rPr>
    </w:lvl>
    <w:lvl w:ilvl="5" w:tplc="080C0005" w:tentative="1">
      <w:start w:val="1"/>
      <w:numFmt w:val="bullet"/>
      <w:lvlText w:val=""/>
      <w:lvlJc w:val="left"/>
      <w:pPr>
        <w:ind w:left="4008" w:hanging="360"/>
      </w:pPr>
      <w:rPr>
        <w:rFonts w:ascii="Wingdings" w:hAnsi="Wingdings" w:hint="default"/>
      </w:rPr>
    </w:lvl>
    <w:lvl w:ilvl="6" w:tplc="080C0001" w:tentative="1">
      <w:start w:val="1"/>
      <w:numFmt w:val="bullet"/>
      <w:lvlText w:val=""/>
      <w:lvlJc w:val="left"/>
      <w:pPr>
        <w:ind w:left="4728" w:hanging="360"/>
      </w:pPr>
      <w:rPr>
        <w:rFonts w:ascii="Symbol" w:hAnsi="Symbol" w:hint="default"/>
      </w:rPr>
    </w:lvl>
    <w:lvl w:ilvl="7" w:tplc="080C0003" w:tentative="1">
      <w:start w:val="1"/>
      <w:numFmt w:val="bullet"/>
      <w:lvlText w:val="o"/>
      <w:lvlJc w:val="left"/>
      <w:pPr>
        <w:ind w:left="5448" w:hanging="360"/>
      </w:pPr>
      <w:rPr>
        <w:rFonts w:ascii="Courier New" w:hAnsi="Courier New" w:cs="Courier New" w:hint="default"/>
      </w:rPr>
    </w:lvl>
    <w:lvl w:ilvl="8" w:tplc="080C0005" w:tentative="1">
      <w:start w:val="1"/>
      <w:numFmt w:val="bullet"/>
      <w:lvlText w:val=""/>
      <w:lvlJc w:val="left"/>
      <w:pPr>
        <w:ind w:left="6168" w:hanging="360"/>
      </w:pPr>
      <w:rPr>
        <w:rFonts w:ascii="Wingdings" w:hAnsi="Wingdings" w:hint="default"/>
      </w:rPr>
    </w:lvl>
  </w:abstractNum>
  <w:abstractNum w:abstractNumId="1" w15:restartNumberingAfterBreak="0">
    <w:nsid w:val="73B419F9"/>
    <w:multiLevelType w:val="hybridMultilevel"/>
    <w:tmpl w:val="4DC043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76966992">
    <w:abstractNumId w:val="0"/>
  </w:num>
  <w:num w:numId="2" w16cid:durableId="1790467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68E"/>
    <w:rsid w:val="00014460"/>
    <w:rsid w:val="000B2D56"/>
    <w:rsid w:val="00102473"/>
    <w:rsid w:val="001113B5"/>
    <w:rsid w:val="00194621"/>
    <w:rsid w:val="001A25C8"/>
    <w:rsid w:val="001B0BEF"/>
    <w:rsid w:val="001B1510"/>
    <w:rsid w:val="00236D04"/>
    <w:rsid w:val="00296102"/>
    <w:rsid w:val="00330AE3"/>
    <w:rsid w:val="004015A2"/>
    <w:rsid w:val="004D2B32"/>
    <w:rsid w:val="00541E24"/>
    <w:rsid w:val="00574E9D"/>
    <w:rsid w:val="0074149A"/>
    <w:rsid w:val="007817E4"/>
    <w:rsid w:val="007D006A"/>
    <w:rsid w:val="00805B14"/>
    <w:rsid w:val="00847511"/>
    <w:rsid w:val="008B3ECB"/>
    <w:rsid w:val="00A555F6"/>
    <w:rsid w:val="00AC7BED"/>
    <w:rsid w:val="00B3102B"/>
    <w:rsid w:val="00BC7606"/>
    <w:rsid w:val="00BE1EE2"/>
    <w:rsid w:val="00BE2B60"/>
    <w:rsid w:val="00C26DB7"/>
    <w:rsid w:val="00CA77B9"/>
    <w:rsid w:val="00D418D1"/>
    <w:rsid w:val="00D7016E"/>
    <w:rsid w:val="00E279A7"/>
    <w:rsid w:val="00E4468E"/>
    <w:rsid w:val="00E44B7B"/>
    <w:rsid w:val="00EC302F"/>
    <w:rsid w:val="00EE7407"/>
    <w:rsid w:val="00F0659A"/>
    <w:rsid w:val="00FC3F1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686D87F"/>
  <w15:chartTrackingRefBased/>
  <w15:docId w15:val="{54246CDD-D53A-4561-BEB7-EF4981A59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68E"/>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468E"/>
    <w:pPr>
      <w:ind w:left="720"/>
    </w:pPr>
  </w:style>
  <w:style w:type="paragraph" w:styleId="En-tte">
    <w:name w:val="header"/>
    <w:basedOn w:val="Normal"/>
    <w:link w:val="En-tteCar"/>
    <w:uiPriority w:val="99"/>
    <w:unhideWhenUsed/>
    <w:rsid w:val="00BE2B60"/>
    <w:pPr>
      <w:tabs>
        <w:tab w:val="center" w:pos="4536"/>
        <w:tab w:val="right" w:pos="9072"/>
      </w:tabs>
    </w:pPr>
  </w:style>
  <w:style w:type="character" w:customStyle="1" w:styleId="En-tteCar">
    <w:name w:val="En-tête Car"/>
    <w:basedOn w:val="Policepardfaut"/>
    <w:link w:val="En-tte"/>
    <w:uiPriority w:val="99"/>
    <w:rsid w:val="00BE2B60"/>
    <w:rPr>
      <w:rFonts w:ascii="Calibri" w:hAnsi="Calibri" w:cs="Calibri"/>
    </w:rPr>
  </w:style>
  <w:style w:type="paragraph" w:styleId="Pieddepage">
    <w:name w:val="footer"/>
    <w:basedOn w:val="Normal"/>
    <w:link w:val="PieddepageCar"/>
    <w:uiPriority w:val="99"/>
    <w:unhideWhenUsed/>
    <w:rsid w:val="00BE2B60"/>
    <w:pPr>
      <w:tabs>
        <w:tab w:val="center" w:pos="4536"/>
        <w:tab w:val="right" w:pos="9072"/>
      </w:tabs>
    </w:pPr>
  </w:style>
  <w:style w:type="character" w:customStyle="1" w:styleId="PieddepageCar">
    <w:name w:val="Pied de page Car"/>
    <w:basedOn w:val="Policepardfaut"/>
    <w:link w:val="Pieddepage"/>
    <w:uiPriority w:val="99"/>
    <w:rsid w:val="00BE2B6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351800">
      <w:bodyDiv w:val="1"/>
      <w:marLeft w:val="0"/>
      <w:marRight w:val="0"/>
      <w:marTop w:val="0"/>
      <w:marBottom w:val="0"/>
      <w:divBdr>
        <w:top w:val="none" w:sz="0" w:space="0" w:color="auto"/>
        <w:left w:val="none" w:sz="0" w:space="0" w:color="auto"/>
        <w:bottom w:val="none" w:sz="0" w:space="0" w:color="auto"/>
        <w:right w:val="none" w:sz="0" w:space="0" w:color="auto"/>
      </w:divBdr>
    </w:div>
    <w:div w:id="175112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995</Words>
  <Characters>5478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CAREME Catherine</dc:creator>
  <cp:keywords/>
  <dc:description/>
  <cp:lastModifiedBy>VAN DRIESSCHE Laurent</cp:lastModifiedBy>
  <cp:revision>18</cp:revision>
  <cp:lastPrinted>2023-02-21T08:15:00Z</cp:lastPrinted>
  <dcterms:created xsi:type="dcterms:W3CDTF">2023-01-12T14:58:00Z</dcterms:created>
  <dcterms:modified xsi:type="dcterms:W3CDTF">2023-02-21T08:20:00Z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2023-01-12T08:10:38Z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476aeb9d-e3d2-4927-8c1d-0806ba0526e9</vt:lpwstr>
  </property>
  <property fmtid="{D5CDD505-2E9C-101B-9397-08002B2CF9AE}" pid="8" name="MSIP_Label_97a477d1-147d-4e34-b5e3-7b26d2f44870_ContentBits">
    <vt:lpwstr>0</vt:lpwstr>
  </property>
</Properties>
</file>